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Poppins" w:cs="Poppins" w:eastAsia="Poppins" w:hAnsi="Poppins"/>
        </w:rPr>
      </w:pPr>
      <w:r w:rsidDel="00000000" w:rsidR="00000000" w:rsidRPr="00000000">
        <w:rPr>
          <w:rFonts w:ascii="Poppins" w:cs="Poppins" w:eastAsia="Poppins" w:hAnsi="Poppins"/>
          <w:rtl w:val="0"/>
        </w:rPr>
        <w:t xml:space="preserve">Najważniejsze informacje z raportu „Badania o badaniach” (język prosty) </w:t>
      </w:r>
      <w:r w:rsidDel="00000000" w:rsidR="00000000" w:rsidRPr="00000000">
        <w:rPr>
          <w:rtl w:val="0"/>
        </w:rPr>
      </w:r>
    </w:p>
    <w:p w:rsidR="00000000" w:rsidDel="00000000" w:rsidP="00000000" w:rsidRDefault="00000000" w:rsidRPr="00000000" w14:paraId="00000002">
      <w:pPr>
        <w:pStyle w:val="Heading1"/>
        <w:rPr>
          <w:rFonts w:ascii="Poppins" w:cs="Poppins" w:eastAsia="Poppins" w:hAnsi="Poppins"/>
        </w:rPr>
      </w:pPr>
      <w:r w:rsidDel="00000000" w:rsidR="00000000" w:rsidRPr="00000000">
        <w:rPr>
          <w:rFonts w:ascii="Poppins" w:cs="Poppins" w:eastAsia="Poppins" w:hAnsi="Poppins"/>
          <w:rtl w:val="0"/>
        </w:rPr>
        <w:t xml:space="preserve">Opis badania</w:t>
      </w:r>
      <w:r w:rsidDel="00000000" w:rsidR="00000000" w:rsidRPr="00000000">
        <w:rPr>
          <w:rFonts w:ascii="Poppins" w:cs="Poppins" w:eastAsia="Poppins" w:hAnsi="Poppins"/>
          <w:sz w:val="48"/>
          <w:szCs w:val="48"/>
          <w:rtl w:val="0"/>
        </w:rPr>
        <w:t xml:space="preserve"> </w:t>
      </w:r>
      <w:r w:rsidDel="00000000" w:rsidR="00000000" w:rsidRPr="00000000">
        <w:rPr>
          <w:rtl w:val="0"/>
        </w:rPr>
      </w:r>
    </w:p>
    <w:p w:rsidR="00000000" w:rsidDel="00000000" w:rsidP="00000000" w:rsidRDefault="00000000" w:rsidRPr="00000000" w14:paraId="00000003">
      <w:pPr>
        <w:spacing w:after="120" w:before="120" w:line="432" w:lineRule="auto"/>
        <w:ind w:firstLine="480"/>
        <w:rPr>
          <w:rFonts w:ascii="Poppins" w:cs="Poppins" w:eastAsia="Poppins" w:hAnsi="Poppins"/>
        </w:rPr>
      </w:pPr>
      <w:r w:rsidDel="00000000" w:rsidR="00000000" w:rsidRPr="00000000">
        <w:rPr>
          <w:rFonts w:ascii="Poppins" w:cs="Poppins" w:eastAsia="Poppins" w:hAnsi="Poppins"/>
          <w:color w:val="000000"/>
          <w:sz w:val="22"/>
          <w:szCs w:val="22"/>
          <w:rtl w:val="0"/>
        </w:rPr>
        <w:t xml:space="preserve">Raport „Badania o badaniach” powstał po raz drugi, tym razem w nowej rzeczywistości, po </w:t>
      </w:r>
      <w:r w:rsidDel="00000000" w:rsidR="00000000" w:rsidRPr="00000000">
        <w:rPr>
          <w:rFonts w:ascii="Poppins" w:cs="Poppins" w:eastAsia="Poppins" w:hAnsi="Poppins"/>
          <w:sz w:val="22"/>
          <w:szCs w:val="22"/>
          <w:rtl w:val="0"/>
        </w:rPr>
        <w:t xml:space="preserve">pandemii</w:t>
      </w:r>
      <w:r w:rsidDel="00000000" w:rsidR="00000000" w:rsidRPr="00000000">
        <w:rPr>
          <w:rFonts w:ascii="Poppins" w:cs="Poppins" w:eastAsia="Poppins" w:hAnsi="Poppins"/>
          <w:color w:val="000000"/>
          <w:sz w:val="22"/>
          <w:szCs w:val="22"/>
          <w:rtl w:val="0"/>
        </w:rPr>
        <w:t xml:space="preserve">. Pięć lat temu wiele osób zarządzających instytucjami kultury zastanawiało się, jak będzie wyglądał sektor kultury. Odpowiedzi na te pytania zaczęto wówczas szukać w badaniach. Dziś, w obliczu kolejnych kryzysów, instytucje kultury wciąż próbują lepiej rozumieć swoje otoczenie, odbiorców i własne możliwości rozwoju. W </w:t>
      </w:r>
      <w:r w:rsidDel="00000000" w:rsidR="00000000" w:rsidRPr="00000000">
        <w:rPr>
          <w:rFonts w:ascii="Poppins" w:cs="Poppins" w:eastAsia="Poppins" w:hAnsi="Poppins"/>
          <w:sz w:val="22"/>
          <w:szCs w:val="22"/>
          <w:rtl w:val="0"/>
        </w:rPr>
        <w:t xml:space="preserve">tym</w:t>
      </w:r>
      <w:r w:rsidDel="00000000" w:rsidR="00000000" w:rsidRPr="00000000">
        <w:rPr>
          <w:rFonts w:ascii="Poppins" w:cs="Poppins" w:eastAsia="Poppins" w:hAnsi="Poppins"/>
          <w:color w:val="000000"/>
          <w:sz w:val="22"/>
          <w:szCs w:val="22"/>
          <w:rtl w:val="0"/>
        </w:rPr>
        <w:t xml:space="preserve"> raporcie autorzy przyglądają się temu, czy instytucje kultury prowadzą badania, jak często z nich korzystają i jakie mają plany na przyszłość. Interesuje ich również, jak instytucje radzą sobie z wyzwaniami związanymi z prowadzeniem badań, zwłaszcza w mniejszych ośrodkach, gdzie jedna osoba często odpowiada za wiele zadań. Badania są potrzebne, by lepiej rozumieć potrzeby publiczności i skuteczniej wykorzystywać dostępne środki finansowe, które w kulturze są zazwyczaj ograniczone. Dzięki nim można też lepiej planować działania, rozwijać zespół i podejmować decyzje oparte na wiedzy, a nie tylko na intuicji. Kultura i dane nie wykluczają się – przeciwnie, dobrze prowadzone badania mogą wspierać artystyczne i edukacyjne cele instytucji. Raport pokazuje również, jak instytucje kultury wykorzystują wyniki badań w praktyce oraz jakie widzą w tym korzyści. Autorzy podkreślają, że badania mają sens tylko wtedy, gdy ich wyniki są naprawdę używane i służą rozwojowi organizacji. Mamy nadzieję, że wyniki tego badania pozwolą lepiej zrozumieć, jak instytucje kultury gromadzą i wykorzystują wiedzę o sobie i swoim otoczeniu, a także staną się podstawą do tworzenia narzędzi, które pomogą wzmacniać ich potencjał badawczy i organizacyjny.</w:t>
      </w:r>
      <w:r w:rsidDel="00000000" w:rsidR="00000000" w:rsidRPr="00000000">
        <w:rPr>
          <w:rFonts w:ascii="Poppins" w:cs="Poppins" w:eastAsia="Poppins" w:hAnsi="Poppins"/>
          <w:color w:val="000000"/>
          <w:rtl w:val="0"/>
        </w:rPr>
        <w:t xml:space="preserve"> </w:t>
      </w:r>
      <w:r w:rsidDel="00000000" w:rsidR="00000000" w:rsidRPr="00000000">
        <w:rPr>
          <w:rtl w:val="0"/>
        </w:rPr>
      </w:r>
    </w:p>
    <w:p w:rsidR="00000000" w:rsidDel="00000000" w:rsidP="00000000" w:rsidRDefault="00000000" w:rsidRPr="00000000" w14:paraId="00000004">
      <w:pPr>
        <w:spacing w:after="120" w:before="120" w:line="432" w:lineRule="auto"/>
        <w:ind w:firstLine="480"/>
        <w:rPr>
          <w:rFonts w:ascii="Poppins" w:cs="Poppins" w:eastAsia="Poppins" w:hAnsi="Poppins"/>
        </w:rPr>
      </w:pPr>
      <w:r w:rsidDel="00000000" w:rsidR="00000000" w:rsidRPr="00000000">
        <w:rPr>
          <w:rFonts w:ascii="Poppins" w:cs="Poppins" w:eastAsia="Poppins" w:hAnsi="Poppins"/>
          <w:color w:val="000000"/>
          <w:sz w:val="22"/>
          <w:szCs w:val="22"/>
          <w:rtl w:val="0"/>
        </w:rPr>
        <w:t xml:space="preserve">Badanie było prowadzone w całej Polsce. Ten raport to druga edycja badania. Poprzednie badanie odbyło się w 2020 roku. Wyniki tamtej edycji badań są dostępne na stronie Stowarzyszenia Instytut Badań Organizacji Kultury </w:t>
      </w:r>
      <w:r w:rsidDel="00000000" w:rsidR="00000000" w:rsidRPr="00000000">
        <w:rPr>
          <w:rFonts w:ascii="Poppins" w:cs="Poppins" w:eastAsia="Poppins" w:hAnsi="Poppins"/>
          <w:sz w:val="22"/>
          <w:szCs w:val="22"/>
          <w:rtl w:val="0"/>
        </w:rPr>
        <w:t xml:space="preserve">- </w:t>
      </w:r>
      <w:r w:rsidDel="00000000" w:rsidR="00000000" w:rsidRPr="00000000">
        <w:rPr>
          <w:rFonts w:ascii="Poppins" w:cs="Poppins" w:eastAsia="Poppins" w:hAnsi="Poppins"/>
          <w:color w:val="000000"/>
          <w:sz w:val="22"/>
          <w:szCs w:val="22"/>
          <w:rtl w:val="0"/>
        </w:rPr>
        <w:t xml:space="preserve">IBOK. W tym raporcie autorzy często odwołują się do danych z poprzedniego badania, porównując je z aktualnymi wynikami. Warto przypomnieć, że pierwsza edycja badań odbyła się w czasie pandemii COVID-19, gdy działalność wielu instytucji była znacznie ograniczona i przeniesiona do internetu. Ten wyjątkowy kontekst mógł mieć wpływ na uzyskane wówczas </w:t>
      </w:r>
      <w:r w:rsidDel="00000000" w:rsidR="00000000" w:rsidRPr="00000000">
        <w:rPr>
          <w:rFonts w:ascii="Poppins" w:cs="Poppins" w:eastAsia="Poppins" w:hAnsi="Poppins"/>
          <w:sz w:val="22"/>
          <w:szCs w:val="22"/>
          <w:rtl w:val="0"/>
        </w:rPr>
        <w:t xml:space="preserve">wyniki</w:t>
      </w:r>
      <w:r w:rsidDel="00000000" w:rsidR="00000000" w:rsidRPr="00000000">
        <w:rPr>
          <w:rFonts w:ascii="Poppins" w:cs="Poppins" w:eastAsia="Poppins" w:hAnsi="Poppins"/>
          <w:color w:val="000000"/>
          <w:sz w:val="22"/>
          <w:szCs w:val="22"/>
          <w:rtl w:val="0"/>
        </w:rPr>
        <w:t xml:space="preserve">.</w:t>
      </w:r>
      <w:r w:rsidDel="00000000" w:rsidR="00000000" w:rsidRPr="00000000">
        <w:rPr>
          <w:rFonts w:ascii="Poppins" w:cs="Poppins" w:eastAsia="Poppins" w:hAnsi="Poppins"/>
          <w:color w:val="000000"/>
          <w:rtl w:val="0"/>
        </w:rPr>
        <w:t xml:space="preserve"> </w:t>
      </w:r>
      <w:r w:rsidDel="00000000" w:rsidR="00000000" w:rsidRPr="00000000">
        <w:rPr>
          <w:rtl w:val="0"/>
        </w:rPr>
      </w:r>
    </w:p>
    <w:p w:rsidR="00000000" w:rsidDel="00000000" w:rsidP="00000000" w:rsidRDefault="00000000" w:rsidRPr="00000000" w14:paraId="00000005">
      <w:pPr>
        <w:spacing w:after="120" w:before="120" w:line="432" w:lineRule="auto"/>
        <w:ind w:firstLine="480"/>
        <w:rPr>
          <w:rFonts w:ascii="Poppins" w:cs="Poppins" w:eastAsia="Poppins" w:hAnsi="Poppins"/>
        </w:rPr>
      </w:pPr>
      <w:r w:rsidDel="00000000" w:rsidR="00000000" w:rsidRPr="00000000">
        <w:rPr>
          <w:rFonts w:ascii="Poppins" w:cs="Poppins" w:eastAsia="Poppins" w:hAnsi="Poppins"/>
          <w:color w:val="000000"/>
          <w:sz w:val="22"/>
          <w:szCs w:val="22"/>
          <w:rtl w:val="0"/>
        </w:rPr>
        <w:t xml:space="preserve">Celem obecnej edycji badań było zebranie aktualnych informacji o tym, czy i w jakim zakresie instytucje kultury prowadzą własne badania, jakie mają motywacje i z jakimi barierami się spotykają. Ważnym elementem było również rozpoznanie zmian, jakie zaszły w tym obszarze w ciągu ostatnich pięciu lat, a także określenie potrzeb związanych ze wzmacnianiem kompetencji badawczych pracowników instytucji kultury.</w:t>
      </w:r>
      <w:r w:rsidDel="00000000" w:rsidR="00000000" w:rsidRPr="00000000">
        <w:rPr>
          <w:rFonts w:ascii="Poppins" w:cs="Poppins" w:eastAsia="Poppins" w:hAnsi="Poppins"/>
          <w:color w:val="000000"/>
          <w:rtl w:val="0"/>
        </w:rPr>
        <w:t xml:space="preserve"> </w:t>
      </w:r>
      <w:r w:rsidDel="00000000" w:rsidR="00000000" w:rsidRPr="00000000">
        <w:rPr>
          <w:rtl w:val="0"/>
        </w:rPr>
      </w:r>
    </w:p>
    <w:p w:rsidR="00000000" w:rsidDel="00000000" w:rsidP="00000000" w:rsidRDefault="00000000" w:rsidRPr="00000000" w14:paraId="00000006">
      <w:pPr>
        <w:spacing w:after="120" w:before="120" w:line="432" w:lineRule="auto"/>
        <w:ind w:firstLine="480"/>
        <w:rPr>
          <w:rFonts w:ascii="Poppins" w:cs="Poppins" w:eastAsia="Poppins" w:hAnsi="Poppins"/>
        </w:rPr>
      </w:pPr>
      <w:r w:rsidDel="00000000" w:rsidR="00000000" w:rsidRPr="00000000">
        <w:rPr>
          <w:rFonts w:ascii="Poppins" w:cs="Poppins" w:eastAsia="Poppins" w:hAnsi="Poppins"/>
          <w:color w:val="000000"/>
          <w:sz w:val="22"/>
          <w:szCs w:val="22"/>
          <w:rtl w:val="0"/>
        </w:rPr>
        <w:t xml:space="preserve">Pierwszym etapem badania była ankieta internetowa, skierowana do wszystkich publicznych instytucji kultury w Polsce. Została ona rozesłana drogą mailową z indywidualnym kodem, który pozwalał na jednorazowe wypełnienie kwestionariusza. Dzięki temu zapewniono rzetelność wyników. Ankieta była dostępna od 9 maja do 22 czerwca 2025 roku, a przypomnienia o jej wypełnieniu wysłano dwukrotnie. W badaniu wzięło udział 866 instytucji, które przesłały kompletne odpowiedzi. Baza instytucji kultury, do których skierowano badanie, została przygotowana przez wolontariuszy i wolontariuszki IBOK na podstawie analiz stron internetowych ministerstw, urzędów marszałkowskich, powiatowych i gminnych. W latach 2023–2025 baza została zaktualizowana, między innymi w zakresie </w:t>
      </w:r>
      <w:r w:rsidDel="00000000" w:rsidR="00000000" w:rsidRPr="00000000">
        <w:rPr>
          <w:rFonts w:ascii="Poppins" w:cs="Poppins" w:eastAsia="Poppins" w:hAnsi="Poppins"/>
          <w:sz w:val="22"/>
          <w:szCs w:val="22"/>
          <w:rtl w:val="0"/>
        </w:rPr>
        <w:t xml:space="preserve">danych</w:t>
      </w:r>
      <w:r w:rsidDel="00000000" w:rsidR="00000000" w:rsidRPr="00000000">
        <w:rPr>
          <w:rFonts w:ascii="Poppins" w:cs="Poppins" w:eastAsia="Poppins" w:hAnsi="Poppins"/>
          <w:color w:val="000000"/>
          <w:sz w:val="22"/>
          <w:szCs w:val="22"/>
          <w:rtl w:val="0"/>
        </w:rPr>
        <w:t xml:space="preserve"> kontaktowych. Choć dołożono wszelkich starań, by była ona możliwie pełna, część danych mogła ulec zmianom w ze względu na zmiany w instytucjach. Autorki raportu dziękują wszystkim osobom, które wniosły swój wkład w tworzenie tej bazy – dzięki ich zaangażowaniu możliwe było uzyskanie bardzo wielu odpowiedzi w badaniu.</w:t>
      </w:r>
      <w:r w:rsidDel="00000000" w:rsidR="00000000" w:rsidRPr="00000000">
        <w:rPr>
          <w:rFonts w:ascii="Poppins" w:cs="Poppins" w:eastAsia="Poppins" w:hAnsi="Poppins"/>
          <w:color w:val="000000"/>
          <w:rtl w:val="0"/>
        </w:rPr>
        <w:t xml:space="preserve"> </w:t>
      </w:r>
      <w:r w:rsidDel="00000000" w:rsidR="00000000" w:rsidRPr="00000000">
        <w:rPr>
          <w:rtl w:val="0"/>
        </w:rPr>
      </w:r>
    </w:p>
    <w:p w:rsidR="00000000" w:rsidDel="00000000" w:rsidP="00000000" w:rsidRDefault="00000000" w:rsidRPr="00000000" w14:paraId="00000007">
      <w:pPr>
        <w:spacing w:after="120" w:before="120" w:line="432" w:lineRule="auto"/>
        <w:ind w:firstLine="480"/>
        <w:rPr>
          <w:rFonts w:ascii="Poppins" w:cs="Poppins" w:eastAsia="Poppins" w:hAnsi="Poppins"/>
        </w:rPr>
      </w:pPr>
      <w:r w:rsidDel="00000000" w:rsidR="00000000" w:rsidRPr="00000000">
        <w:rPr>
          <w:rFonts w:ascii="Poppins" w:cs="Poppins" w:eastAsia="Poppins" w:hAnsi="Poppins"/>
          <w:color w:val="000000"/>
          <w:sz w:val="22"/>
          <w:szCs w:val="22"/>
          <w:rtl w:val="0"/>
        </w:rPr>
        <w:t xml:space="preserve">Na końcu ankiety zamieszczono pytanie o chęć udziału w wywiadach pogłębionych. Zgłosiło się 17 instytucji, z których ostatecznie 9 wzięło udział w rozmowach. Były to różne typy instytucji – teatr, muzeum, biblioteka, dwa domy kultury oraz cztery inne jednostki. Większość z nich miała siedziby w dużych miastach, ale różniły się skalą działania, liczbą pracowników i organizatorem. Wyniki z wywiadów nie stanowią odrębnego badania, lecz służą jako uzupełnienie wyników z ankiet. Dzięki temu raport pokazuje zarówno ogólny obraz badań w instytucjach kultury, jak i indywidualne doświadczenia ich przedstawicieli.</w:t>
      </w:r>
      <w:r w:rsidDel="00000000" w:rsidR="00000000" w:rsidRPr="00000000">
        <w:rPr>
          <w:rFonts w:ascii="Poppins" w:cs="Poppins" w:eastAsia="Poppins" w:hAnsi="Poppins"/>
          <w:color w:val="000000"/>
          <w:rtl w:val="0"/>
        </w:rPr>
        <w:t xml:space="preserve"> </w:t>
      </w:r>
      <w:r w:rsidDel="00000000" w:rsidR="00000000" w:rsidRPr="00000000">
        <w:rPr>
          <w:rtl w:val="0"/>
        </w:rPr>
      </w:r>
    </w:p>
    <w:p w:rsidR="00000000" w:rsidDel="00000000" w:rsidP="00000000" w:rsidRDefault="00000000" w:rsidRPr="00000000" w14:paraId="00000008">
      <w:pPr>
        <w:pStyle w:val="Heading1"/>
        <w:rPr>
          <w:rFonts w:ascii="Poppins" w:cs="Poppins" w:eastAsia="Poppins" w:hAnsi="Poppins"/>
        </w:rPr>
      </w:pPr>
      <w:r w:rsidDel="00000000" w:rsidR="00000000" w:rsidRPr="00000000">
        <w:rPr>
          <w:rFonts w:ascii="Poppins" w:cs="Poppins" w:eastAsia="Poppins" w:hAnsi="Poppins"/>
          <w:rtl w:val="0"/>
        </w:rPr>
        <w:t xml:space="preserve">Główne wątki badania</w:t>
      </w:r>
      <w:r w:rsidDel="00000000" w:rsidR="00000000" w:rsidRPr="00000000">
        <w:rPr>
          <w:rFonts w:ascii="Poppins" w:cs="Poppins" w:eastAsia="Poppins" w:hAnsi="Poppins"/>
          <w:sz w:val="48"/>
          <w:szCs w:val="48"/>
          <w:rtl w:val="0"/>
        </w:rPr>
        <w:t xml:space="preserve"> </w:t>
      </w:r>
      <w:r w:rsidDel="00000000" w:rsidR="00000000" w:rsidRPr="00000000">
        <w:rPr>
          <w:rtl w:val="0"/>
        </w:rPr>
      </w:r>
    </w:p>
    <w:p w:rsidR="00000000" w:rsidDel="00000000" w:rsidP="00000000" w:rsidRDefault="00000000" w:rsidRPr="00000000" w14:paraId="00000009">
      <w:pPr>
        <w:spacing w:after="120" w:before="120" w:line="432" w:lineRule="auto"/>
        <w:ind w:firstLine="480"/>
        <w:rPr>
          <w:rFonts w:ascii="Poppins" w:cs="Poppins" w:eastAsia="Poppins" w:hAnsi="Poppins"/>
        </w:rPr>
      </w:pPr>
      <w:r w:rsidDel="00000000" w:rsidR="00000000" w:rsidRPr="00000000">
        <w:rPr>
          <w:rFonts w:ascii="Poppins" w:cs="Poppins" w:eastAsia="Poppins" w:hAnsi="Poppins"/>
          <w:color w:val="000000"/>
          <w:sz w:val="22"/>
          <w:szCs w:val="22"/>
          <w:rtl w:val="0"/>
        </w:rPr>
        <w:t xml:space="preserve">Większość instytucji kultury uważa, że prowadzenie badań jest potrzebne, choć w porównaniu z wynikami sprzed pięciu lat odsetek takich odpowiedzi nieco spadł. Coraz więcej instytucji nie jest pewnych, jaką rolę wyniki bada</w:t>
      </w:r>
      <w:r w:rsidDel="00000000" w:rsidR="00000000" w:rsidRPr="00000000">
        <w:rPr>
          <w:rFonts w:ascii="Poppins" w:cs="Poppins" w:eastAsia="Poppins" w:hAnsi="Poppins"/>
          <w:sz w:val="22"/>
          <w:szCs w:val="22"/>
          <w:rtl w:val="0"/>
        </w:rPr>
        <w:t xml:space="preserve">ń</w:t>
      </w:r>
      <w:r w:rsidDel="00000000" w:rsidR="00000000" w:rsidRPr="00000000">
        <w:rPr>
          <w:rFonts w:ascii="Poppins" w:cs="Poppins" w:eastAsia="Poppins" w:hAnsi="Poppins"/>
          <w:color w:val="000000"/>
          <w:sz w:val="22"/>
          <w:szCs w:val="22"/>
          <w:rtl w:val="0"/>
        </w:rPr>
        <w:t xml:space="preserve"> mogą pełnić w ich pracy. Nie wynika to z braku zainteresowania, ale raczej z faktu, że część instytucji dopiero uczy się, jak włączać badania w swoją działalność. Ogólnie jednak w sektorze kultury rośnie liczba prowadzonych badań, a wiele instytucji sięga do analiz przygotowanych przez inne podmioty, zamiast realizować własne projekty badawcze. Ponad połowa instytucji kultury korzysta z dostępnych raportów i analiz, np. dotyczących uczestnictwa w kulturze. Wyniki w porównaniu z poprzednim badaniem są stabilne, ale widać, że coraz więcej instytucji ma jasno określony stosunek do tej praktyki – albo świadomie korzystają z badań, albo świadomie z nich rezygnują.</w:t>
      </w:r>
      <w:r w:rsidDel="00000000" w:rsidR="00000000" w:rsidRPr="00000000">
        <w:rPr>
          <w:rFonts w:ascii="Poppins" w:cs="Poppins" w:eastAsia="Poppins" w:hAnsi="Poppins"/>
          <w:color w:val="000000"/>
          <w:rtl w:val="0"/>
        </w:rPr>
        <w:t xml:space="preserve"> </w:t>
      </w:r>
      <w:r w:rsidDel="00000000" w:rsidR="00000000" w:rsidRPr="00000000">
        <w:rPr>
          <w:rtl w:val="0"/>
        </w:rPr>
      </w:r>
    </w:p>
    <w:p w:rsidR="00000000" w:rsidDel="00000000" w:rsidP="00000000" w:rsidRDefault="00000000" w:rsidRPr="00000000" w14:paraId="0000000A">
      <w:pPr>
        <w:spacing w:after="120" w:before="120" w:line="432" w:lineRule="auto"/>
        <w:ind w:firstLine="480"/>
        <w:rPr>
          <w:rFonts w:ascii="Poppins" w:cs="Poppins" w:eastAsia="Poppins" w:hAnsi="Poppins"/>
        </w:rPr>
      </w:pPr>
      <w:r w:rsidDel="00000000" w:rsidR="00000000" w:rsidRPr="00000000">
        <w:rPr>
          <w:rFonts w:ascii="Poppins" w:cs="Poppins" w:eastAsia="Poppins" w:hAnsi="Poppins"/>
          <w:color w:val="000000"/>
          <w:sz w:val="22"/>
          <w:szCs w:val="22"/>
          <w:rtl w:val="0"/>
        </w:rPr>
        <w:t xml:space="preserve">Najczęściej prowadzone są badania publiczności, które dotyczą jej potrzeb, uczestnictwa i satysfakcji. Instytucje coraz częściej analizują także relacje z odbiorcami, komunikację, kwestie społeczne i prośrodowiskowe. W ostatnich latach wyraźnie wzrosło znaczenie dostępności, która z dodatkowego tematu stała się samodzielnym i ważnym obszarem badań. Badania publiczności służą już nie tylko do oceny tego jak często odbiorcy odwiedzają instytucje, ale też do rozpoznawania nowych trendów i wyzwań. W badaniach wewnętrznych instytucje skupiają się głównie na zarządzaniu i organizacji pracy. Rzadziej analizują motywację, współpracę w zespole czy satysfakcję pracowników, choć coraz częściej pojawiają się badania dotyczące równości, warunków pracy i ochrony małoletnich. W działaniach marketingowych instytucje najczęściej monitorują media internetowe i komunikację z odbiorcami, rzadziej badają rozpoznawalność marki czy skuteczność reklamy. Większość analiz opiera się na ogólnodostępnych narzędziach cyfrowych, a pogłębione badania marketingowe wciąż należą do rzadkości.</w:t>
      </w:r>
      <w:r w:rsidDel="00000000" w:rsidR="00000000" w:rsidRPr="00000000">
        <w:rPr>
          <w:rFonts w:ascii="Poppins" w:cs="Poppins" w:eastAsia="Poppins" w:hAnsi="Poppins"/>
          <w:color w:val="000000"/>
          <w:rtl w:val="0"/>
        </w:rPr>
        <w:t xml:space="preserve"> </w:t>
      </w:r>
      <w:r w:rsidDel="00000000" w:rsidR="00000000" w:rsidRPr="00000000">
        <w:rPr>
          <w:rFonts w:ascii="Poppins" w:cs="Poppins" w:eastAsia="Poppins" w:hAnsi="Poppins"/>
          <w:color w:val="000000"/>
          <w:sz w:val="22"/>
          <w:szCs w:val="22"/>
          <w:rtl w:val="0"/>
        </w:rPr>
        <w:t xml:space="preserve">Ewaluacje dotyczą najczęściej projektów i oferty, rzadziej cen biletów lub usług. Choć część instytucji traktuje ewaluację jako obowiązek sprawozdawczy, coraz więcej dostrzega w niej narzędzie dzięki któremu można ulepszać działania i lepiej dopasować ofertę do potrzeb odbiorców. Coraz częściej prowadzone są też działania dotyczące dostępności, obejmujące audyty architektoniczne i cyfrowe, a także badania potrzeb różnych grup odbiorców i działania na rzecz równości i włączania publiczności.</w:t>
      </w:r>
      <w:r w:rsidDel="00000000" w:rsidR="00000000" w:rsidRPr="00000000">
        <w:rPr>
          <w:rFonts w:ascii="Poppins" w:cs="Poppins" w:eastAsia="Poppins" w:hAnsi="Poppins"/>
          <w:color w:val="000000"/>
          <w:rtl w:val="0"/>
        </w:rPr>
        <w:t xml:space="preserve"> </w:t>
      </w:r>
      <w:r w:rsidDel="00000000" w:rsidR="00000000" w:rsidRPr="00000000">
        <w:rPr>
          <w:rtl w:val="0"/>
        </w:rPr>
      </w:r>
    </w:p>
    <w:p w:rsidR="00000000" w:rsidDel="00000000" w:rsidP="00000000" w:rsidRDefault="00000000" w:rsidRPr="00000000" w14:paraId="0000000B">
      <w:pPr>
        <w:spacing w:after="120" w:before="120" w:line="432" w:lineRule="auto"/>
        <w:ind w:firstLine="480"/>
        <w:rPr>
          <w:rFonts w:ascii="Poppins" w:cs="Poppins" w:eastAsia="Poppins" w:hAnsi="Poppins"/>
        </w:rPr>
      </w:pPr>
      <w:r w:rsidDel="00000000" w:rsidR="00000000" w:rsidRPr="00000000">
        <w:rPr>
          <w:rFonts w:ascii="Poppins" w:cs="Poppins" w:eastAsia="Poppins" w:hAnsi="Poppins"/>
          <w:color w:val="000000"/>
          <w:sz w:val="22"/>
          <w:szCs w:val="22"/>
          <w:rtl w:val="0"/>
        </w:rPr>
        <w:t xml:space="preserve">Instytucje kultury prowadzą badania po to, by lepiej poznać potrzeby odbiorców, udoskonalać swoją ofertę i planować rozwój. Część z nich prowadzi badania samodzielnie, inne zlecają je ekspertom, uczelniom lub fundacjom. Za realizację badań najczęściej odpowiadają dyrektorzy, kierownicy lub wyznaczeni pracownicy, choć w wielu instytucjach wciąż brakuje osób zajmujących się tym na stałe. Główną przeszkodą w prowadzeniu badań jest brak pieniędzy – wskazała ją prawie połowa badanych instytucji. Podobna liczba wskazała, że nie realizuje badań, ponieważ nie widzi takiej potrzeby. Dla części problemem jest brak umiejętności. W związku z tym ważne jest informowanie korzyściach z badań oraz rozwijanie kompetencji badawczych wśród pracowników instytucji kultury. Około jedna na dziesięć instytucji prowadziła badania w pierwszej połowie 2025 roku, co stanowi nieznaczny spadek w porównaniu z rokiem 2020. Zainteresowanie badaniami utrzymuje się jednak na stabilnym poziomie – jedna na trzy instytucje planuje prowadzić badania w przyszłości, w tym także te, które dotychczas tego nie robiły. Wciąż jednak wiele instytucji nie dostrzega potrzeby prowadzenia badań, co stanowi barierę trudną do przełamania.</w:t>
      </w:r>
      <w:r w:rsidDel="00000000" w:rsidR="00000000" w:rsidRPr="00000000">
        <w:rPr>
          <w:rFonts w:ascii="Poppins" w:cs="Poppins" w:eastAsia="Poppins" w:hAnsi="Poppins"/>
          <w:color w:val="000000"/>
          <w:rtl w:val="0"/>
        </w:rPr>
        <w:t xml:space="preserve"> </w:t>
      </w:r>
      <w:r w:rsidDel="00000000" w:rsidR="00000000" w:rsidRPr="00000000">
        <w:rPr>
          <w:rtl w:val="0"/>
        </w:rPr>
      </w:r>
    </w:p>
    <w:p w:rsidR="00000000" w:rsidDel="00000000" w:rsidP="00000000" w:rsidRDefault="00000000" w:rsidRPr="00000000" w14:paraId="0000000C">
      <w:pPr>
        <w:spacing w:after="120" w:before="120" w:line="432" w:lineRule="auto"/>
        <w:ind w:firstLine="480"/>
        <w:rPr>
          <w:rFonts w:ascii="Poppins" w:cs="Poppins" w:eastAsia="Poppins" w:hAnsi="Poppins"/>
          <w:sz w:val="22"/>
          <w:szCs w:val="22"/>
        </w:rPr>
      </w:pPr>
      <w:r w:rsidDel="00000000" w:rsidR="00000000" w:rsidRPr="00000000">
        <w:rPr>
          <w:rFonts w:ascii="Poppins" w:cs="Poppins" w:eastAsia="Poppins" w:hAnsi="Poppins"/>
          <w:color w:val="000000"/>
          <w:sz w:val="22"/>
          <w:szCs w:val="22"/>
          <w:rtl w:val="0"/>
        </w:rPr>
        <w:t xml:space="preserve">Większość instytucji nie posiada stałego budżetu na badania, a jeśli takie środki są przewidziane, zwykle nie przekraczają 10 tysięcy złotych rocznie. Instytucje nie tylko prowadzą własne badania, lecz także biorą udział w badaniach zewnętrznych, najczęściej realizowanych przez Główny Urząd Statystyczny, inne instytucje kultury, samorządy lub uczelnie. Ponad połowa badanych instytucji przygotowuje raporty z badań, ale większość z nich nie udostępnia wyników publicznie. </w:t>
      </w:r>
      <w:r w:rsidDel="00000000" w:rsidR="00000000" w:rsidRPr="00000000">
        <w:rPr>
          <w:rFonts w:ascii="Poppins" w:cs="Poppins" w:eastAsia="Poppins" w:hAnsi="Poppins"/>
          <w:sz w:val="22"/>
          <w:szCs w:val="22"/>
          <w:rtl w:val="0"/>
        </w:rPr>
        <w:t xml:space="preserve">Ponad połowa organizacji stwierdziła, że po badaniach powstały wskazówki do dalszych działań, a większość z nich została wykorzystana w praktyce.</w:t>
      </w:r>
    </w:p>
    <w:p w:rsidR="00000000" w:rsidDel="00000000" w:rsidP="00000000" w:rsidRDefault="00000000" w:rsidRPr="00000000" w14:paraId="0000000D">
      <w:pPr>
        <w:spacing w:after="120" w:before="120" w:line="432" w:lineRule="auto"/>
        <w:ind w:firstLine="480"/>
        <w:rPr>
          <w:rFonts w:ascii="Poppins" w:cs="Poppins" w:eastAsia="Poppins" w:hAnsi="Poppins"/>
        </w:rPr>
      </w:pPr>
      <w:r w:rsidDel="00000000" w:rsidR="00000000" w:rsidRPr="00000000">
        <w:rPr>
          <w:rFonts w:ascii="Poppins" w:cs="Poppins" w:eastAsia="Poppins" w:hAnsi="Poppins"/>
          <w:color w:val="000000"/>
          <w:sz w:val="22"/>
          <w:szCs w:val="22"/>
          <w:rtl w:val="0"/>
        </w:rPr>
        <w:t xml:space="preserve">Do realizacji badań instytucje najczęściej wykorzystują własne zasoby: zaangażowanie pracowników, oprogramowanie, sprzęt techniczny oraz wiedzę ekspercką. Pieniądze, choć ważne, nie są uznawane za kluczowe. Badania wiążą się jednak z pewnymi trudnościami – najczęściej wskazywano brak czasu i niechęć uczestników do udziału w badaniach. Mimo to wiele instytucji widzi w badaniach korzyści, przede wszystkim to, że można poznać potrzeby publiczności oraz mocne i słabe strony własnej instytucji kultury. </w:t>
      </w:r>
      <w:r w:rsidDel="00000000" w:rsidR="00000000" w:rsidRPr="00000000">
        <w:rPr>
          <w:rtl w:val="0"/>
        </w:rPr>
      </w:r>
    </w:p>
    <w:p w:rsidR="00000000" w:rsidDel="00000000" w:rsidP="00000000" w:rsidRDefault="00000000" w:rsidRPr="00000000" w14:paraId="0000000E">
      <w:pPr>
        <w:pStyle w:val="Heading1"/>
        <w:rPr>
          <w:rFonts w:ascii="Poppins" w:cs="Poppins" w:eastAsia="Poppins" w:hAnsi="Poppins"/>
        </w:rPr>
      </w:pPr>
      <w:r w:rsidDel="00000000" w:rsidR="00000000" w:rsidRPr="00000000">
        <w:rPr>
          <w:rFonts w:ascii="Poppins" w:cs="Poppins" w:eastAsia="Poppins" w:hAnsi="Poppins"/>
          <w:rtl w:val="0"/>
        </w:rPr>
        <w:t xml:space="preserve">Rekomendacje</w:t>
      </w:r>
      <w:r w:rsidDel="00000000" w:rsidR="00000000" w:rsidRPr="00000000">
        <w:rPr>
          <w:rFonts w:ascii="Poppins" w:cs="Poppins" w:eastAsia="Poppins" w:hAnsi="Poppins"/>
          <w:sz w:val="48"/>
          <w:szCs w:val="48"/>
          <w:rtl w:val="0"/>
        </w:rPr>
        <w:t xml:space="preserve"> </w:t>
      </w:r>
      <w:r w:rsidDel="00000000" w:rsidR="00000000" w:rsidRPr="00000000">
        <w:rPr>
          <w:rtl w:val="0"/>
        </w:rPr>
      </w:r>
    </w:p>
    <w:p w:rsidR="00000000" w:rsidDel="00000000" w:rsidP="00000000" w:rsidRDefault="00000000" w:rsidRPr="00000000" w14:paraId="0000000F">
      <w:pPr>
        <w:spacing w:after="120" w:before="120" w:line="432" w:lineRule="auto"/>
        <w:ind w:firstLine="480"/>
        <w:rPr>
          <w:rFonts w:ascii="Poppins" w:cs="Poppins" w:eastAsia="Poppins" w:hAnsi="Poppins"/>
        </w:rPr>
      </w:pPr>
      <w:r w:rsidDel="00000000" w:rsidR="00000000" w:rsidRPr="00000000">
        <w:rPr>
          <w:rFonts w:ascii="Poppins" w:cs="Poppins" w:eastAsia="Poppins" w:hAnsi="Poppins"/>
          <w:color w:val="000000"/>
          <w:sz w:val="22"/>
          <w:szCs w:val="22"/>
          <w:rtl w:val="0"/>
        </w:rPr>
        <w:t xml:space="preserve">Na podstawie wyników badań można wskazać kilka kierunków działań, które mogą pomóc instytucjom kultury rozwijać swoje praktyki badawcze. Po pierwsze, warto rozwinąć umiejętności pracowników w zakresie planowania, prowadzenia i analizowania badań. Szkolenia, warsztaty czy programy mentoringowe mogą pomóc osobom zatrudnionym w instytucjach kultury lepiej rozumieć, jak zbierać i interpretować dane oraz jak wykorzystywać je w codziennej pracy. Warto również rozwijać współpracę między instytucjami kultury a uczelniami i ekspertami, którzy mogą wspierać procesy badawcze i pomagać w analizie wyników.</w:t>
      </w:r>
      <w:r w:rsidDel="00000000" w:rsidR="00000000" w:rsidRPr="00000000">
        <w:rPr>
          <w:rFonts w:ascii="Poppins" w:cs="Poppins" w:eastAsia="Poppins" w:hAnsi="Poppins"/>
          <w:color w:val="000000"/>
          <w:rtl w:val="0"/>
        </w:rPr>
        <w:t xml:space="preserve"> </w:t>
      </w:r>
      <w:r w:rsidDel="00000000" w:rsidR="00000000" w:rsidRPr="00000000">
        <w:rPr>
          <w:rtl w:val="0"/>
        </w:rPr>
      </w:r>
    </w:p>
    <w:p w:rsidR="00000000" w:rsidDel="00000000" w:rsidP="00000000" w:rsidRDefault="00000000" w:rsidRPr="00000000" w14:paraId="00000010">
      <w:pPr>
        <w:spacing w:after="120" w:before="120" w:line="432" w:lineRule="auto"/>
        <w:ind w:firstLine="480"/>
        <w:rPr>
          <w:rFonts w:ascii="Poppins" w:cs="Poppins" w:eastAsia="Poppins" w:hAnsi="Poppins"/>
        </w:rPr>
      </w:pPr>
      <w:r w:rsidDel="00000000" w:rsidR="00000000" w:rsidRPr="00000000">
        <w:rPr>
          <w:rFonts w:ascii="Poppins" w:cs="Poppins" w:eastAsia="Poppins" w:hAnsi="Poppins"/>
          <w:color w:val="000000"/>
          <w:sz w:val="22"/>
          <w:szCs w:val="22"/>
          <w:rtl w:val="0"/>
        </w:rPr>
        <w:t xml:space="preserve">Po drugie, istotne jest tworzenie stałego budżetu dla prowadzenia badań. W wielu instytucjach brakuje pieniędzy przeznaczonych na ten cel, dlatego warto rozważyć wprowadzenie stałych środków finansowych lub tworzenie wspólnych funduszy badawczych, np. na poziomie regionalnym. Wsparcie finansowe może obejmować także drobne granty na wstępne badania, które pozwolą instytucjom testować nowe rozwiązania i narzędzia.</w:t>
      </w:r>
      <w:r w:rsidDel="00000000" w:rsidR="00000000" w:rsidRPr="00000000">
        <w:rPr>
          <w:rFonts w:ascii="Poppins" w:cs="Poppins" w:eastAsia="Poppins" w:hAnsi="Poppins"/>
          <w:color w:val="000000"/>
          <w:rtl w:val="0"/>
        </w:rPr>
        <w:t xml:space="preserve"> </w:t>
      </w:r>
      <w:r w:rsidDel="00000000" w:rsidR="00000000" w:rsidRPr="00000000">
        <w:rPr>
          <w:rtl w:val="0"/>
        </w:rPr>
      </w:r>
    </w:p>
    <w:p w:rsidR="00000000" w:rsidDel="00000000" w:rsidP="00000000" w:rsidRDefault="00000000" w:rsidRPr="00000000" w14:paraId="00000011">
      <w:pPr>
        <w:spacing w:after="120" w:before="120" w:line="432" w:lineRule="auto"/>
        <w:ind w:firstLine="480"/>
        <w:rPr>
          <w:rFonts w:ascii="Poppins" w:cs="Poppins" w:eastAsia="Poppins" w:hAnsi="Poppins"/>
        </w:rPr>
      </w:pPr>
      <w:r w:rsidDel="00000000" w:rsidR="00000000" w:rsidRPr="00000000">
        <w:rPr>
          <w:rFonts w:ascii="Poppins" w:cs="Poppins" w:eastAsia="Poppins" w:hAnsi="Poppins"/>
          <w:color w:val="000000"/>
          <w:sz w:val="22"/>
          <w:szCs w:val="22"/>
          <w:rtl w:val="0"/>
        </w:rPr>
        <w:t xml:space="preserve">Po trzecie, rekomenduje się rozwijanie systemów dzielenia się wynikami badań. Wiele instytucji opracowuje raporty, ale nie publikuje ich rezultatów. Tworzenie otwartych baz danych, repozytoriów czy platform wymiany wiedzy pozwoliłoby korzystać z doświadczeń innych i unikać powielania podobnych działań. Takie rozwiązania wspierałyby też budowanie kultury współpracy i uczenia się w sektorze.</w:t>
      </w:r>
      <w:r w:rsidDel="00000000" w:rsidR="00000000" w:rsidRPr="00000000">
        <w:rPr>
          <w:rFonts w:ascii="Poppins" w:cs="Poppins" w:eastAsia="Poppins" w:hAnsi="Poppins"/>
          <w:color w:val="000000"/>
          <w:rtl w:val="0"/>
        </w:rPr>
        <w:t xml:space="preserve"> </w:t>
      </w:r>
      <w:r w:rsidDel="00000000" w:rsidR="00000000" w:rsidRPr="00000000">
        <w:rPr>
          <w:rtl w:val="0"/>
        </w:rPr>
      </w:r>
    </w:p>
    <w:p w:rsidR="00000000" w:rsidDel="00000000" w:rsidP="00000000" w:rsidRDefault="00000000" w:rsidRPr="00000000" w14:paraId="00000012">
      <w:pPr>
        <w:spacing w:after="120" w:before="120" w:line="432" w:lineRule="auto"/>
        <w:ind w:firstLine="480"/>
        <w:rPr>
          <w:rFonts w:ascii="Poppins" w:cs="Poppins" w:eastAsia="Poppins" w:hAnsi="Poppins"/>
        </w:rPr>
      </w:pPr>
      <w:r w:rsidDel="00000000" w:rsidR="00000000" w:rsidRPr="00000000">
        <w:rPr>
          <w:rFonts w:ascii="Poppins" w:cs="Poppins" w:eastAsia="Poppins" w:hAnsi="Poppins"/>
          <w:color w:val="000000"/>
          <w:sz w:val="22"/>
          <w:szCs w:val="22"/>
          <w:rtl w:val="0"/>
        </w:rPr>
        <w:t xml:space="preserve">Po czwarte, należy zachęcać instytucje kultury do regularnego prowadzenia badań – nie tylko wtedy, gdy wymaga tego projekt lub grant. Badania realizowane cyklicznie, np. co kilka lat, pozwalają lepiej obserwować zmiany w zachowaniach odbiorców i dostosowywać działania do nowych potrzeb.</w:t>
      </w:r>
      <w:r w:rsidDel="00000000" w:rsidR="00000000" w:rsidRPr="00000000">
        <w:rPr>
          <w:rFonts w:ascii="Poppins" w:cs="Poppins" w:eastAsia="Poppins" w:hAnsi="Poppins"/>
          <w:color w:val="000000"/>
          <w:rtl w:val="0"/>
        </w:rPr>
        <w:t xml:space="preserve"> </w:t>
      </w:r>
      <w:r w:rsidDel="00000000" w:rsidR="00000000" w:rsidRPr="00000000">
        <w:rPr>
          <w:rtl w:val="0"/>
        </w:rPr>
      </w:r>
    </w:p>
    <w:p w:rsidR="00000000" w:rsidDel="00000000" w:rsidP="00000000" w:rsidRDefault="00000000" w:rsidRPr="00000000" w14:paraId="00000013">
      <w:pPr>
        <w:spacing w:after="120" w:before="120" w:line="432" w:lineRule="auto"/>
        <w:ind w:firstLine="480"/>
        <w:rPr>
          <w:rFonts w:ascii="Poppins" w:cs="Poppins" w:eastAsia="Poppins" w:hAnsi="Poppins"/>
        </w:rPr>
      </w:pPr>
      <w:r w:rsidDel="00000000" w:rsidR="00000000" w:rsidRPr="00000000">
        <w:rPr>
          <w:rFonts w:ascii="Poppins" w:cs="Poppins" w:eastAsia="Poppins" w:hAnsi="Poppins"/>
          <w:color w:val="000000"/>
          <w:sz w:val="22"/>
          <w:szCs w:val="22"/>
          <w:rtl w:val="0"/>
        </w:rPr>
        <w:t xml:space="preserve">Po piąte, warto zwrócić uwagę na małe instytucje kultury, które często mają ograniczone zasoby kadrowe i finansowe. Dla nich szczególnie potrzebne są proste i dostępne narzędzia badawcze oraz wsparcie w zakresie interpretacji wyników. Włączenie takich instytucji w sieci współpracy czy wspólne projekty badawcze mogłoby znacznie zwiększyć ich możliwości.</w:t>
      </w:r>
      <w:r w:rsidDel="00000000" w:rsidR="00000000" w:rsidRPr="00000000">
        <w:rPr>
          <w:rFonts w:ascii="Poppins" w:cs="Poppins" w:eastAsia="Poppins" w:hAnsi="Poppins"/>
          <w:color w:val="000000"/>
          <w:rtl w:val="0"/>
        </w:rPr>
        <w:t xml:space="preserve"> </w:t>
      </w:r>
      <w:r w:rsidDel="00000000" w:rsidR="00000000" w:rsidRPr="00000000">
        <w:rPr>
          <w:rtl w:val="0"/>
        </w:rPr>
      </w:r>
    </w:p>
    <w:p w:rsidR="00000000" w:rsidDel="00000000" w:rsidP="00000000" w:rsidRDefault="00000000" w:rsidRPr="00000000" w14:paraId="00000014">
      <w:pPr>
        <w:spacing w:after="120" w:before="120" w:line="432" w:lineRule="auto"/>
        <w:ind w:firstLine="480"/>
        <w:rPr>
          <w:rFonts w:ascii="Poppins" w:cs="Poppins" w:eastAsia="Poppins" w:hAnsi="Poppins"/>
        </w:rPr>
      </w:pPr>
      <w:r w:rsidDel="00000000" w:rsidR="00000000" w:rsidRPr="00000000">
        <w:rPr>
          <w:rFonts w:ascii="Poppins" w:cs="Poppins" w:eastAsia="Poppins" w:hAnsi="Poppins"/>
          <w:color w:val="000000"/>
          <w:sz w:val="22"/>
          <w:szCs w:val="22"/>
          <w:rtl w:val="0"/>
        </w:rPr>
        <w:t xml:space="preserve">Wreszcie, należy podkreślić znaczenie praktycznego wykorzystania wyników badań. Dane i raporty powinny wspierać podejmowanie decyzji, planowanie oferty, ewaluację działań i komunikację z publicznością. Badania mają wartość tylko wtedy, gdy ich rezultaty są wykorzystywane w praktyce i pomagają instytucjom rozwijać się w sposób świadomy i odpowiedzialny.</w:t>
      </w:r>
      <w:r w:rsidDel="00000000" w:rsidR="00000000" w:rsidRPr="00000000">
        <w:rPr>
          <w:rFonts w:ascii="Poppins" w:cs="Poppins" w:eastAsia="Poppins" w:hAnsi="Poppins"/>
          <w:color w:val="000000"/>
          <w:rtl w:val="0"/>
        </w:rPr>
        <w:t xml:space="preserve"> </w:t>
      </w:r>
      <w:r w:rsidDel="00000000" w:rsidR="00000000" w:rsidRPr="00000000">
        <w:rPr>
          <w:rtl w:val="0"/>
        </w:rPr>
      </w:r>
    </w:p>
    <w:p w:rsidR="00000000" w:rsidDel="00000000" w:rsidP="00000000" w:rsidRDefault="00000000" w:rsidRPr="00000000" w14:paraId="00000015">
      <w:pPr>
        <w:spacing w:after="120" w:before="120" w:line="432" w:lineRule="auto"/>
        <w:ind w:firstLine="480"/>
        <w:rPr>
          <w:rFonts w:ascii="Poppins" w:cs="Poppins" w:eastAsia="Poppins" w:hAnsi="Poppins"/>
          <w:color w:val="000000"/>
        </w:rPr>
      </w:pPr>
      <w:r w:rsidDel="00000000" w:rsidR="00000000" w:rsidRPr="00000000">
        <w:rPr>
          <w:rFonts w:ascii="Poppins" w:cs="Poppins" w:eastAsia="Poppins" w:hAnsi="Poppins"/>
          <w:color w:val="000000"/>
          <w:sz w:val="22"/>
          <w:szCs w:val="22"/>
          <w:rtl w:val="0"/>
        </w:rPr>
        <w:t xml:space="preserve">Wdrażanie tych rekomendacji może przyczynić się do budowania bardziej refleksyjnego i profesjonalnego sektora kultury, w którym decyzje oparte są na wiedzy, a nie jedynie na intuicji czy przyzwyczajeniu.</w:t>
      </w:r>
      <w:r w:rsidDel="00000000" w:rsidR="00000000" w:rsidRPr="00000000">
        <w:rPr>
          <w:rFonts w:ascii="Poppins" w:cs="Poppins" w:eastAsia="Poppins" w:hAnsi="Poppins"/>
          <w:color w:val="000000"/>
          <w:rtl w:val="0"/>
        </w:rPr>
        <w:t xml:space="preserve"> </w:t>
      </w:r>
    </w:p>
    <w:p w:rsidR="00000000" w:rsidDel="00000000" w:rsidP="00000000" w:rsidRDefault="00000000" w:rsidRPr="00000000" w14:paraId="00000016">
      <w:pPr>
        <w:pStyle w:val="Heading1"/>
        <w:rPr>
          <w:rFonts w:ascii="Poppins" w:cs="Poppins" w:eastAsia="Poppins" w:hAnsi="Poppins"/>
        </w:rPr>
      </w:pPr>
      <w:r w:rsidDel="00000000" w:rsidR="00000000" w:rsidRPr="00000000">
        <w:rPr>
          <w:rFonts w:ascii="Poppins" w:cs="Poppins" w:eastAsia="Poppins" w:hAnsi="Poppins"/>
          <w:rtl w:val="0"/>
        </w:rPr>
        <w:t xml:space="preserve">INFORMACJE O REALIZACJI BADANIA:</w:t>
      </w:r>
    </w:p>
    <w:p w:rsidR="00000000" w:rsidDel="00000000" w:rsidP="00000000" w:rsidRDefault="00000000" w:rsidRPr="00000000" w14:paraId="00000017">
      <w:pPr>
        <w:spacing w:after="120" w:before="120" w:line="336" w:lineRule="auto"/>
        <w:rPr>
          <w:rFonts w:ascii="Poppins" w:cs="Poppins" w:eastAsia="Poppins" w:hAnsi="Poppins"/>
          <w:color w:val="000000"/>
          <w:sz w:val="22"/>
          <w:szCs w:val="22"/>
        </w:rPr>
      </w:pPr>
      <w:r w:rsidDel="00000000" w:rsidR="00000000" w:rsidRPr="00000000">
        <w:rPr>
          <w:rFonts w:ascii="Poppins" w:cs="Poppins" w:eastAsia="Poppins" w:hAnsi="Poppins"/>
          <w:color w:val="000000"/>
          <w:sz w:val="22"/>
          <w:szCs w:val="22"/>
          <w:rtl w:val="0"/>
        </w:rPr>
        <w:t xml:space="preserve">Raport dostępny na licencji Creative Commons Uznanie autorstwa-Użycie niekomercyjne-</w:t>
      </w:r>
    </w:p>
    <w:p w:rsidR="00000000" w:rsidDel="00000000" w:rsidP="00000000" w:rsidRDefault="00000000" w:rsidRPr="00000000" w14:paraId="00000018">
      <w:pPr>
        <w:spacing w:after="120" w:before="120" w:line="336" w:lineRule="auto"/>
        <w:rPr>
          <w:rFonts w:ascii="Poppins" w:cs="Poppins" w:eastAsia="Poppins" w:hAnsi="Poppins"/>
          <w:color w:val="000000"/>
          <w:sz w:val="22"/>
          <w:szCs w:val="22"/>
        </w:rPr>
      </w:pPr>
      <w:r w:rsidDel="00000000" w:rsidR="00000000" w:rsidRPr="00000000">
        <w:rPr>
          <w:rFonts w:ascii="Poppins" w:cs="Poppins" w:eastAsia="Poppins" w:hAnsi="Poppins"/>
          <w:color w:val="000000"/>
          <w:sz w:val="22"/>
          <w:szCs w:val="22"/>
          <w:rtl w:val="0"/>
        </w:rPr>
        <w:t xml:space="preserve">Na tych samych warunkach 4.0.</w:t>
      </w:r>
    </w:p>
    <w:p w:rsidR="00000000" w:rsidDel="00000000" w:rsidP="00000000" w:rsidRDefault="00000000" w:rsidRPr="00000000" w14:paraId="00000019">
      <w:pPr>
        <w:spacing w:after="120" w:before="120" w:line="336" w:lineRule="auto"/>
        <w:rPr>
          <w:rFonts w:ascii="Poppins" w:cs="Poppins" w:eastAsia="Poppins" w:hAnsi="Poppins"/>
          <w:color w:val="000000"/>
          <w:sz w:val="22"/>
          <w:szCs w:val="22"/>
        </w:rPr>
      </w:pPr>
      <w:r w:rsidDel="00000000" w:rsidR="00000000" w:rsidRPr="00000000">
        <w:rPr>
          <w:rFonts w:ascii="Poppins" w:cs="Poppins" w:eastAsia="Poppins" w:hAnsi="Poppins"/>
          <w:color w:val="000000"/>
          <w:sz w:val="22"/>
          <w:szCs w:val="22"/>
          <w:rtl w:val="0"/>
        </w:rPr>
        <w:t xml:space="preserve">Tekst licencji można znaleźć pod adresem: </w:t>
      </w:r>
      <w:hyperlink r:id="rId7">
        <w:r w:rsidDel="00000000" w:rsidR="00000000" w:rsidRPr="00000000">
          <w:rPr>
            <w:rFonts w:ascii="Poppins" w:cs="Poppins" w:eastAsia="Poppins" w:hAnsi="Poppins"/>
            <w:color w:val="467886"/>
            <w:sz w:val="22"/>
            <w:szCs w:val="22"/>
            <w:u w:val="single"/>
            <w:rtl w:val="0"/>
          </w:rPr>
          <w:t xml:space="preserve">TREŚĆ LICENCJI</w:t>
        </w:r>
      </w:hyperlink>
      <w:r w:rsidDel="00000000" w:rsidR="00000000" w:rsidRPr="00000000">
        <w:rPr>
          <w:rtl w:val="0"/>
        </w:rPr>
      </w:r>
    </w:p>
    <w:p w:rsidR="00000000" w:rsidDel="00000000" w:rsidP="00000000" w:rsidRDefault="00000000" w:rsidRPr="00000000" w14:paraId="0000001A">
      <w:pPr>
        <w:spacing w:after="120" w:before="120" w:line="336" w:lineRule="auto"/>
        <w:rPr>
          <w:rFonts w:ascii="Poppins" w:cs="Poppins" w:eastAsia="Poppins" w:hAnsi="Poppins"/>
          <w:color w:val="000000"/>
          <w:sz w:val="22"/>
          <w:szCs w:val="22"/>
        </w:rPr>
      </w:pPr>
      <w:r w:rsidDel="00000000" w:rsidR="00000000" w:rsidRPr="00000000">
        <w:rPr>
          <w:rFonts w:ascii="Poppins" w:cs="Poppins" w:eastAsia="Poppins" w:hAnsi="Poppins"/>
          <w:color w:val="000000"/>
          <w:sz w:val="22"/>
          <w:szCs w:val="22"/>
          <w:rtl w:val="0"/>
        </w:rPr>
        <w:t xml:space="preserve">Pewne prawa zastrzeżone na rzecz autorów i Instytutu Badań Organizacji Kultury – IBOK</w:t>
      </w:r>
    </w:p>
    <w:p w:rsidR="00000000" w:rsidDel="00000000" w:rsidP="00000000" w:rsidRDefault="00000000" w:rsidRPr="00000000" w14:paraId="0000001B">
      <w:pPr>
        <w:spacing w:after="120" w:before="120" w:line="336" w:lineRule="auto"/>
        <w:rPr>
          <w:rFonts w:ascii="Poppins" w:cs="Poppins" w:eastAsia="Poppins" w:hAnsi="Poppins"/>
          <w:sz w:val="22"/>
          <w:szCs w:val="22"/>
        </w:rPr>
      </w:pPr>
      <w:r w:rsidDel="00000000" w:rsidR="00000000" w:rsidRPr="00000000">
        <w:rPr>
          <w:rFonts w:ascii="Poppins" w:cs="Poppins" w:eastAsia="Poppins" w:hAnsi="Poppins"/>
          <w:color w:val="000000"/>
          <w:sz w:val="22"/>
          <w:szCs w:val="22"/>
          <w:rtl w:val="0"/>
        </w:rPr>
        <w:t xml:space="preserve">Publikacja jest dostępna w sieci pod adresem: </w:t>
      </w:r>
      <w:hyperlink r:id="rId8">
        <w:r w:rsidDel="00000000" w:rsidR="00000000" w:rsidRPr="00000000">
          <w:rPr>
            <w:rFonts w:ascii="Poppins" w:cs="Poppins" w:eastAsia="Poppins" w:hAnsi="Poppins"/>
            <w:color w:val="467886"/>
            <w:sz w:val="22"/>
            <w:szCs w:val="22"/>
            <w:u w:val="single"/>
            <w:rtl w:val="0"/>
          </w:rPr>
          <w:t xml:space="preserve">PUBLIKACJA PEŁNEGO RAPORTU</w:t>
        </w:r>
      </w:hyperlink>
      <w:r w:rsidDel="00000000" w:rsidR="00000000" w:rsidRPr="00000000">
        <w:rPr>
          <w:rtl w:val="0"/>
        </w:rPr>
      </w:r>
    </w:p>
    <w:p w:rsidR="00000000" w:rsidDel="00000000" w:rsidP="00000000" w:rsidRDefault="00000000" w:rsidRPr="00000000" w14:paraId="0000001C">
      <w:pPr>
        <w:spacing w:after="0" w:before="120" w:line="336" w:lineRule="auto"/>
        <w:rPr>
          <w:rFonts w:ascii="Poppins" w:cs="Poppins" w:eastAsia="Poppins" w:hAnsi="Poppins"/>
          <w:color w:val="000000"/>
          <w:sz w:val="22"/>
          <w:szCs w:val="22"/>
        </w:rPr>
      </w:pPr>
      <w:r w:rsidDel="00000000" w:rsidR="00000000" w:rsidRPr="00000000">
        <w:rPr>
          <w:rFonts w:ascii="Poppins" w:cs="Poppins" w:eastAsia="Poppins" w:hAnsi="Poppins"/>
          <w:color w:val="000000"/>
          <w:sz w:val="22"/>
          <w:szCs w:val="22"/>
          <w:rtl w:val="0"/>
        </w:rPr>
        <w:t xml:space="preserve">Autorki raportu:</w:t>
      </w:r>
    </w:p>
    <w:p w:rsidR="00000000" w:rsidDel="00000000" w:rsidP="00000000" w:rsidRDefault="00000000" w:rsidRPr="00000000" w14:paraId="0000001D">
      <w:pPr>
        <w:numPr>
          <w:ilvl w:val="0"/>
          <w:numId w:val="1"/>
        </w:numPr>
        <w:spacing w:after="0" w:afterAutospacing="0" w:before="120" w:line="336"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dr Agnieszka Konior - koordynatorka projektu badawczego </w:t>
      </w:r>
    </w:p>
    <w:p w:rsidR="00000000" w:rsidDel="00000000" w:rsidP="00000000" w:rsidRDefault="00000000" w:rsidRPr="00000000" w14:paraId="0000001E">
      <w:pPr>
        <w:numPr>
          <w:ilvl w:val="0"/>
          <w:numId w:val="1"/>
        </w:numPr>
        <w:spacing w:after="0" w:afterAutospacing="0" w:before="0" w:beforeAutospacing="0" w:line="336"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dr Magdalena Sawczuk </w:t>
      </w:r>
    </w:p>
    <w:p w:rsidR="00000000" w:rsidDel="00000000" w:rsidP="00000000" w:rsidRDefault="00000000" w:rsidRPr="00000000" w14:paraId="0000001F">
      <w:pPr>
        <w:numPr>
          <w:ilvl w:val="0"/>
          <w:numId w:val="1"/>
        </w:numPr>
        <w:spacing w:after="0" w:afterAutospacing="0" w:before="0" w:beforeAutospacing="0" w:line="336"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dr Agnieszka Szostak </w:t>
      </w:r>
    </w:p>
    <w:p w:rsidR="00000000" w:rsidDel="00000000" w:rsidP="00000000" w:rsidRDefault="00000000" w:rsidRPr="00000000" w14:paraId="00000020">
      <w:pPr>
        <w:numPr>
          <w:ilvl w:val="0"/>
          <w:numId w:val="1"/>
        </w:numPr>
        <w:spacing w:after="0" w:afterAutospacing="0" w:before="0" w:beforeAutospacing="0" w:line="336"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mgr Maja Gawryołek-Osińska </w:t>
      </w:r>
    </w:p>
    <w:p w:rsidR="00000000" w:rsidDel="00000000" w:rsidP="00000000" w:rsidRDefault="00000000" w:rsidRPr="00000000" w14:paraId="00000021">
      <w:pPr>
        <w:numPr>
          <w:ilvl w:val="0"/>
          <w:numId w:val="1"/>
        </w:numPr>
        <w:spacing w:after="120" w:before="0" w:beforeAutospacing="0" w:line="336" w:lineRule="auto"/>
        <w:ind w:left="720" w:hanging="360"/>
        <w:rPr>
          <w:rFonts w:ascii="Poppins" w:cs="Poppins" w:eastAsia="Poppins" w:hAnsi="Poppins"/>
          <w:color w:val="000000"/>
        </w:rPr>
      </w:pPr>
      <w:r w:rsidDel="00000000" w:rsidR="00000000" w:rsidRPr="00000000">
        <w:rPr>
          <w:rFonts w:ascii="Poppins" w:cs="Poppins" w:eastAsia="Poppins" w:hAnsi="Poppins"/>
          <w:color w:val="000000"/>
          <w:rtl w:val="0"/>
        </w:rPr>
        <w:t xml:space="preserve">mgr Olga Kosińska</w:t>
      </w:r>
      <w:r w:rsidDel="00000000" w:rsidR="00000000" w:rsidRPr="00000000">
        <w:rPr>
          <w:rtl w:val="0"/>
        </w:rPr>
      </w:r>
    </w:p>
    <w:sectPr>
      <w:pgSz w:h="16845" w:w="1191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ptos"/>
  <w:font w:name="Play">
    <w:embedRegular w:fontKey="{00000000-0000-0000-0000-000000000000}" r:id="rId1" w:subsetted="0"/>
    <w:embedBold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Play" w:cs="Play" w:eastAsia="Play" w:hAnsi="Play"/>
      <w:color w:val="0f476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Play" w:cs="Play" w:eastAsia="Play" w:hAnsi="Play"/>
      <w:sz w:val="56"/>
      <w:szCs w:val="56"/>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TytuZnak" w:customStyle="1">
    <w:name w:val="Tytuł Znak"/>
    <w:basedOn w:val="Domylnaczcionkaakapitu"/>
    <w:link w:val="Tytu"/>
    <w:uiPriority w:val="10"/>
    <w:rsid w:val="00CF4610"/>
    <w:rPr>
      <w:rFonts w:asciiTheme="majorHAnsi" w:cstheme="majorBidi" w:eastAsiaTheme="majorEastAsia" w:hAnsiTheme="majorHAnsi"/>
      <w:spacing w:val="-10"/>
      <w:kern w:val="28"/>
      <w:sz w:val="56"/>
      <w:szCs w:val="56"/>
    </w:rPr>
  </w:style>
  <w:style w:type="character" w:styleId="Nagwek1Znak" w:customStyle="1">
    <w:name w:val="Nagłówek 1 Znak"/>
    <w:basedOn w:val="Domylnaczcionkaakapitu"/>
    <w:link w:val="Nagwek1"/>
    <w:uiPriority w:val="9"/>
    <w:rsid w:val="00CF4610"/>
    <w:rPr>
      <w:rFonts w:asciiTheme="majorHAnsi" w:cstheme="majorBidi" w:eastAsiaTheme="majorEastAsia" w:hAnsiTheme="majorHAnsi"/>
      <w:color w:val="0f4761" w:themeColor="accent1" w:themeShade="0000BF"/>
      <w:sz w:val="32"/>
      <w:szCs w:val="32"/>
    </w:rPr>
  </w:style>
  <w:style w:type="character" w:styleId="Hipercze">
    <w:name w:val="Hyperlink"/>
    <w:basedOn w:val="Domylnaczcionkaakapitu"/>
    <w:uiPriority w:val="99"/>
    <w:unhideWhenUsed w:val="1"/>
    <w:rsid w:val="00AD6BFC"/>
    <w:rPr>
      <w:color w:val="467886" w:themeColor="hyperlink"/>
      <w:u w:val="single"/>
    </w:rPr>
  </w:style>
  <w:style w:type="character" w:styleId="Nierozpoznanawzmianka">
    <w:name w:val="Unresolved Mention"/>
    <w:basedOn w:val="Domylnaczcionkaakapitu"/>
    <w:uiPriority w:val="99"/>
    <w:semiHidden w:val="1"/>
    <w:unhideWhenUsed w:val="1"/>
    <w:rsid w:val="00AD6BFC"/>
    <w:rPr>
      <w:color w:val="605e5c"/>
      <w:shd w:color="auto" w:fill="e1dfdd" w:val="clear"/>
    </w:rPr>
  </w:style>
  <w:style w:type="paragraph" w:styleId="Poprawka">
    <w:name w:val="Revision"/>
    <w:hidden w:val="1"/>
    <w:uiPriority w:val="99"/>
    <w:semiHidden w:val="1"/>
    <w:rsid w:val="00CC01E1"/>
    <w:pPr>
      <w:spacing w:after="0" w:line="240" w:lineRule="auto"/>
    </w:pPr>
  </w:style>
  <w:style w:type="character" w:styleId="Odwoaniedokomentarza">
    <w:name w:val="annotation reference"/>
    <w:basedOn w:val="Domylnaczcionkaakapitu"/>
    <w:uiPriority w:val="99"/>
    <w:semiHidden w:val="1"/>
    <w:unhideWhenUsed w:val="1"/>
    <w:rsid w:val="00CC01E1"/>
    <w:rPr>
      <w:sz w:val="16"/>
      <w:szCs w:val="16"/>
    </w:rPr>
  </w:style>
  <w:style w:type="paragraph" w:styleId="Tekstkomentarza">
    <w:name w:val="annotation text"/>
    <w:basedOn w:val="Normalny"/>
    <w:link w:val="TekstkomentarzaZnak"/>
    <w:uiPriority w:val="99"/>
    <w:unhideWhenUsed w:val="1"/>
    <w:rsid w:val="00CC01E1"/>
    <w:pPr>
      <w:spacing w:line="240" w:lineRule="auto"/>
    </w:pPr>
    <w:rPr>
      <w:sz w:val="20"/>
      <w:szCs w:val="20"/>
    </w:rPr>
  </w:style>
  <w:style w:type="character" w:styleId="TekstkomentarzaZnak" w:customStyle="1">
    <w:name w:val="Tekst komentarza Znak"/>
    <w:basedOn w:val="Domylnaczcionkaakapitu"/>
    <w:link w:val="Tekstkomentarza"/>
    <w:uiPriority w:val="99"/>
    <w:rsid w:val="00CC01E1"/>
    <w:rPr>
      <w:sz w:val="20"/>
      <w:szCs w:val="20"/>
    </w:rPr>
  </w:style>
  <w:style w:type="paragraph" w:styleId="Tematkomentarza">
    <w:name w:val="annotation subject"/>
    <w:basedOn w:val="Tekstkomentarza"/>
    <w:next w:val="Tekstkomentarza"/>
    <w:link w:val="TematkomentarzaZnak"/>
    <w:uiPriority w:val="99"/>
    <w:semiHidden w:val="1"/>
    <w:unhideWhenUsed w:val="1"/>
    <w:rsid w:val="00CC01E1"/>
    <w:rPr>
      <w:b w:val="1"/>
      <w:bCs w:val="1"/>
    </w:rPr>
  </w:style>
  <w:style w:type="character" w:styleId="TematkomentarzaZnak" w:customStyle="1">
    <w:name w:val="Temat komentarza Znak"/>
    <w:basedOn w:val="TekstkomentarzaZnak"/>
    <w:link w:val="Tematkomentarza"/>
    <w:uiPriority w:val="99"/>
    <w:semiHidden w:val="1"/>
    <w:rsid w:val="00CC01E1"/>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reativecommons.org/licenses/by-nc-sa/4.0/" TargetMode="External"/><Relationship Id="rId8" Type="http://schemas.openxmlformats.org/officeDocument/2006/relationships/hyperlink" Target="http://www.ibok.org.pl/projekty/badania/badania-o-badaniach-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nStpfC2P6IeZ4BZqKruPDjvMg==">CgMxLjA4AGpKCjZzdWdnZXN0SWRJbXBvcnRkY2E2YTQ2OS01NDMxLTRjNDktYmUxMy1mODliOGRlNWYzZTJfNTESEEFnbmllc3prYSBLb25pb3JqSQo1c3VnZ2VzdElkSW1wb3J0ZGNhNmE0NjktNTQzMS00YzQ5LWJlMTMtZjg5YjhkZTVmM2UyXzkSEEFnbmllc3prYSBLb25pb3JqSgo2c3VnZ2VzdElkSW1wb3J0ZGNhNmE0NjktNTQzMS00YzQ5LWJlMTMtZjg5YjhkZTVmM2UyXzMwEhBBZ25pZXN6a2EgS29uaW9yakoKNnN1Z2dlc3RJZEltcG9ydGRjYTZhNDY5LTU0MzEtNGM0OS1iZTEzLWY4OWI4ZGU1ZjNlMl8xOBIQQWduaWVzemthIEtvbmlvcmpKCjZzdWdnZXN0SWRJbXBvcnRkY2E2YTQ2OS01NDMxLTRjNDktYmUxMy1mODliOGRlNWYzZTJfNDISEEFnbmllc3prYSBLb25pb3JqSgo2c3VnZ2VzdElkSW1wb3J0ZGNhNmE0NjktNTQzMS00YzQ5LWJlMTMtZjg5YjhkZTVmM2UyXzM0EhBBZ25pZXN6a2EgS29uaW9yakoKNnN1Z2dlc3RJZEltcG9ydGRjYTZhNDY5LTU0MzEtNGM0OS1iZTEzLWY4OWI4ZGU1ZjNlMl80NhIQQWduaWVzemthIEtvbmlvcmpKCjZzdWdnZXN0SWRJbXBvcnRkY2E2YTQ2OS01NDMxLTRjNDktYmUxMy1mODliOGRlNWYzZTJfMjISEEFnbmllc3prYSBLb25pb3JqSgo2c3VnZ2VzdElkSW1wb3J0ZGNhNmE0NjktNTQzMS00YzQ5LWJlMTMtZjg5YjhkZTVmM2UyXzU3EhBBZ25pZXN6a2EgS29uaW9yakoKNnN1Z2dlc3RJZEltcG9ydGRjYTZhNDY5LTU0MzEtNGM0OS1iZTEzLWY4OWI4ZGU1ZjNlMl8zMhIQQWduaWVzemthIEtvbmlvcmpKCjZzdWdnZXN0SWRJbXBvcnRkY2E2YTQ2OS01NDMxLTRjNDktYmUxMy1mODliOGRlNWYzZTJfMzUSEEFnbmllc3prYSBLb25pb3JqSQo1c3VnZ2VzdElkSW1wb3J0ZGNhNmE0NjktNTQzMS00YzQ5LWJlMTMtZjg5YjhkZTVmM2UyXzMSEEFnbmllc3prYSBLb25pb3JqSgo2c3VnZ2VzdElkSW1wb3J0ZGNhNmE0NjktNTQzMS00YzQ5LWJlMTMtZjg5YjhkZTVmM2UyXzQxEhBBZ25pZXN6a2EgS29uaW9yakkKNXN1Z2dlc3RJZEltcG9ydGRjYTZhNDY5LTU0MzEtNGM0OS1iZTEzLWY4OWI4ZGU1ZjNlMl8yEhBBZ25pZXN6a2EgS29uaW9yakoKNnN1Z2dlc3RJZEltcG9ydGRjYTZhNDY5LTU0MzEtNGM0OS1iZTEzLWY4OWI4ZGU1ZjNlMl8xMBIQQWduaWVzemthIEtvbmlvcmpKCjZzdWdnZXN0SWRJbXBvcnRkY2E2YTQ2OS01NDMxLTRjNDktYmUxMy1mODliOGRlNWYzZTJfNDgSEEFnbmllc3prYSBLb25pb3JqSQo1c3VnZ2VzdElkSW1wb3J0ZGNhNmE0NjktNTQzMS00YzQ5LWJlMTMtZjg5YjhkZTVmM2UyXzESEEFnbmllc3prYSBLb25pb3JqSQo1c3VnZ2VzdElkSW1wb3J0ZGNhNmE0NjktNTQzMS00YzQ5LWJlMTMtZjg5YjhkZTVmM2UyXzUSEEFnbmllc3prYSBLb25pb3JqSgo2c3VnZ2VzdElkSW1wb3J0ZGNhNmE0NjktNTQzMS00YzQ5LWJlMTMtZjg5YjhkZTVmM2UyXzM5EhBBZ25pZXN6a2EgS29uaW9yakoKNnN1Z2dlc3RJZEltcG9ydGRjYTZhNDY5LTU0MzEtNGM0OS1iZTEzLWY4OWI4ZGU1ZjNlMl8xNBIQQWduaWVzemthIEtvbmlvcmpKCjZzdWdnZXN0SWRJbXBvcnRkY2E2YTQ2OS01NDMxLTRjNDktYmUxMy1mODliOGRlNWYzZTJfMTYSEEFnbmllc3prYSBLb25pb3JqSgo2c3VnZ2VzdElkSW1wb3J0ZGNhNmE0NjktNTQzMS00YzQ5LWJlMTMtZjg5YjhkZTVmM2UyXzI2EhBBZ25pZXN6a2EgS29uaW9yakoKNnN1Z2dlc3RJZEltcG9ydGRjYTZhNDY5LTU0MzEtNGM0OS1iZTEzLWY4OWI4ZGU1ZjNlMl8xMhIQQWduaWVzemthIEtvbmlvcmpKCjZzdWdnZXN0SWRJbXBvcnRkY2E2YTQ2OS01NDMxLTRjNDktYmUxMy1mODliOGRlNWYzZTJfMjcSEEFnbmllc3prYSBLb25pb3JqSgo2c3VnZ2VzdElkSW1wb3J0ZGNhNmE0NjktNTQzMS00YzQ5LWJlMTMtZjg5YjhkZTVmM2UyXzIwEhBBZ25pZXN6a2EgS29uaW9yakoKNnN1Z2dlc3RJZEltcG9ydGRjYTZhNDY5LTU0MzEtNGM0OS1iZTEzLWY4OWI4ZGU1ZjNlMl80NBIQQWduaWVzemthIEtvbmlvcmpKCjZzdWdnZXN0SWRJbXBvcnRkY2E2YTQ2OS01NDMxLTRjNDktYmUxMy1mODliOGRlNWYzZTJfMjQSEEFnbmllc3prYSBLb25pb3JqSgo2c3VnZ2VzdElkSW1wb3J0ZGNhNmE0NjktNTQzMS00YzQ5LWJlMTMtZjg5YjhkZTVmM2UyXzM3EhBBZ25pZXN6a2EgS29uaW9yakoKNnN1Z2dlc3RJZEltcG9ydGRjYTZhNDY5LTU0MzEtNGM0OS1iZTEzLWY4OWI4ZGU1ZjNlMl81NBIQQWduaWVzemthIEtvbmlvcmpKCjZzdWdnZXN0SWRJbXBvcnRkY2E2YTQ2OS01NDMxLTRjNDktYmUxMy1mODliOGRlNWYzZTJfNTMSEEFnbmllc3prYSBLb25pb3JqSgo2c3VnZ2VzdElkSW1wb3J0ZGNhNmE0NjktNTQzMS00YzQ5LWJlMTMtZjg5YjhkZTVmM2UyXzU1EhBBZ25pZXN6a2EgS29uaW9yakoKNnN1Z2dlc3RJZEltcG9ydGRjYTZhNDY5LTU0MzEtNGM0OS1iZTEzLWY4OWI4ZGU1ZjNlMl81ORIQQWduaWVzemthIEtvbmlvcnIhMTc4UnI0V1pGTUxVQjNNRUpHOTB4c2JkQ3p1X0pYcE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2025-11-17T19:12:00Z</dcterms:created>
  <dc:creator>Apache POI</dc:creator>
</cp:coreProperties>
</file>